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7E7286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="00C57533">
        <w:rPr>
          <w:rFonts w:ascii="Calibri" w:hAnsi="Calibri"/>
        </w:rPr>
        <w:t>-13.4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FC5C68B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4A15CC">
        <w:rPr>
          <w:b/>
        </w:rPr>
        <w:t>x</w:t>
      </w:r>
      <w:r w:rsidRPr="007A395D">
        <w:t xml:space="preserve">  Input</w:t>
      </w:r>
    </w:p>
    <w:p w14:paraId="0BC79547" w14:textId="36F9C132" w:rsidR="0080294B" w:rsidRPr="007A395D" w:rsidRDefault="004A15CC" w:rsidP="00F36489">
      <w:pPr>
        <w:pStyle w:val="BodyText"/>
      </w:pPr>
      <w:proofErr w:type="gramStart"/>
      <w:r>
        <w:t>x</w:t>
      </w:r>
      <w:r w:rsidR="0080294B" w:rsidRPr="007A395D">
        <w:t xml:space="preserve">  ENAV</w:t>
      </w:r>
      <w:proofErr w:type="gramEnd"/>
      <w:r>
        <w:t xml:space="preserve"> </w:t>
      </w:r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4FB0317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4A15CC">
        <w:t>13</w:t>
      </w:r>
    </w:p>
    <w:p w14:paraId="6CFA6142" w14:textId="189678CF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4A15CC">
        <w:t>3.1.16</w:t>
      </w:r>
    </w:p>
    <w:p w14:paraId="5C721796" w14:textId="49750AF2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4A15CC">
        <w:t>WG5</w:t>
      </w:r>
    </w:p>
    <w:p w14:paraId="01FC5420" w14:textId="0EA63B54" w:rsidR="00362CD9" w:rsidRPr="004A15CC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4A15CC">
        <w:t>Dr Alan Grant</w:t>
      </w:r>
      <w:r w:rsidR="00DC0DE4">
        <w:t xml:space="preserve"> (WG5 Chair)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1D16F20" w:rsidR="00A446C9" w:rsidRPr="00CC2DCC" w:rsidRDefault="004A15CC" w:rsidP="00F36489">
      <w:pPr>
        <w:pStyle w:val="Title"/>
        <w:rPr>
          <w:color w:val="00558C"/>
        </w:rPr>
      </w:pPr>
      <w:r>
        <w:rPr>
          <w:color w:val="00558C"/>
        </w:rPr>
        <w:t>R-Mode (MF) Interference study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5432CFB6" w14:textId="6FB9CF5A" w:rsidR="00B56BDF" w:rsidRDefault="004A15CC" w:rsidP="00F36489">
      <w:pPr>
        <w:pStyle w:val="BodyText"/>
      </w:pPr>
      <w:r>
        <w:t xml:space="preserve">There are various activities being conducted to support the development of R-Mode, both for marine radiobeacon (MF) and AIS/VDES (VHF) transmissions.  The General Lighthouse Authorities of the UK and Ireland funded a study </w:t>
      </w:r>
      <w:r w:rsidR="005D70AF">
        <w:t>to investigate</w:t>
      </w:r>
      <w:r>
        <w:t xml:space="preserve"> whether R-Mode transmissions (MF) would interfere with legacy marine beacon </w:t>
      </w:r>
      <w:r w:rsidR="005D70AF">
        <w:t xml:space="preserve">DGNSS </w:t>
      </w:r>
      <w:r>
        <w:t>users</w:t>
      </w:r>
      <w:r w:rsidR="0086654F" w:rsidRPr="007A395D">
        <w:t>.</w:t>
      </w:r>
      <w:r w:rsidR="005D70AF">
        <w:t xml:space="preserve">   </w:t>
      </w:r>
    </w:p>
    <w:p w14:paraId="2F65CEC3" w14:textId="3AF662E0" w:rsidR="005D70AF" w:rsidRDefault="005D70AF" w:rsidP="00F36489">
      <w:pPr>
        <w:pStyle w:val="BodyText"/>
      </w:pPr>
      <w:r>
        <w:t xml:space="preserve">The study concluded that additional signal transmitted for R-Mode should not interfere with legacy users.  </w:t>
      </w:r>
    </w:p>
    <w:p w14:paraId="2FE1525C" w14:textId="318E32F5" w:rsidR="005D70AF" w:rsidRPr="007A395D" w:rsidRDefault="005D70AF" w:rsidP="00F36489">
      <w:pPr>
        <w:pStyle w:val="BodyText"/>
      </w:pPr>
      <w:r>
        <w:t>The final report of the study is being shared to help progress R-Mode development</w:t>
      </w:r>
      <w:r w:rsidR="00DC0DE4">
        <w:t xml:space="preserve"> and to seek any comments or questions on the approach taken</w:t>
      </w:r>
      <w:r>
        <w:t xml:space="preserve">. </w:t>
      </w:r>
      <w:r w:rsidR="00DC0DE4"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BC69CC4" w:rsidR="00F25BF4" w:rsidRPr="007A395D" w:rsidRDefault="005D70AF" w:rsidP="00F36489">
      <w:pPr>
        <w:pStyle w:val="BodyText"/>
      </w:pPr>
      <w:r>
        <w:t xml:space="preserve">The Committee is requested to: </w:t>
      </w:r>
    </w:p>
    <w:p w14:paraId="41A1E375" w14:textId="5787E065" w:rsidR="00F25BF4" w:rsidRDefault="00C57533" w:rsidP="00F36489">
      <w:pPr>
        <w:pStyle w:val="List1"/>
        <w:numPr>
          <w:ilvl w:val="0"/>
          <w:numId w:val="39"/>
        </w:numPr>
      </w:pPr>
      <w:r>
        <w:t>Consider report, ENAV21-13.4.1</w:t>
      </w:r>
      <w:r w:rsidR="005D70AF">
        <w:t>, when developing a Guideline on R-Mode (MF).</w:t>
      </w:r>
    </w:p>
    <w:p w14:paraId="3745A0B2" w14:textId="618A387F" w:rsidR="00DC0DE4" w:rsidRPr="007A395D" w:rsidRDefault="00DC0DE4" w:rsidP="00F36489">
      <w:pPr>
        <w:pStyle w:val="List1"/>
        <w:numPr>
          <w:ilvl w:val="0"/>
          <w:numId w:val="39"/>
        </w:numPr>
      </w:pPr>
      <w:r>
        <w:t>Provide any comments on the report to WG5 Chair.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D741C" w14:textId="77777777" w:rsidR="00C2612A" w:rsidRDefault="00C2612A" w:rsidP="00362CD9">
      <w:r>
        <w:separator/>
      </w:r>
    </w:p>
    <w:p w14:paraId="584C3601" w14:textId="77777777" w:rsidR="00C2612A" w:rsidRDefault="00C2612A"/>
    <w:p w14:paraId="7EC0AA69" w14:textId="77777777" w:rsidR="00C2612A" w:rsidRDefault="00C2612A"/>
  </w:endnote>
  <w:endnote w:type="continuationSeparator" w:id="0">
    <w:p w14:paraId="537E93F4" w14:textId="77777777" w:rsidR="00C2612A" w:rsidRDefault="00C2612A" w:rsidP="00362CD9">
      <w:r>
        <w:continuationSeparator/>
      </w:r>
    </w:p>
    <w:p w14:paraId="39FEE38A" w14:textId="77777777" w:rsidR="00C2612A" w:rsidRDefault="00C2612A"/>
    <w:p w14:paraId="026BEE31" w14:textId="77777777" w:rsidR="00C2612A" w:rsidRDefault="00C26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1C4E7" w14:textId="77777777" w:rsidR="00C2612A" w:rsidRDefault="00C2612A" w:rsidP="00362CD9">
      <w:r>
        <w:separator/>
      </w:r>
    </w:p>
    <w:p w14:paraId="122BA70A" w14:textId="77777777" w:rsidR="00C2612A" w:rsidRDefault="00C2612A"/>
    <w:p w14:paraId="2FB3EB4C" w14:textId="77777777" w:rsidR="00C2612A" w:rsidRDefault="00C2612A"/>
  </w:footnote>
  <w:footnote w:type="continuationSeparator" w:id="0">
    <w:p w14:paraId="2855699E" w14:textId="77777777" w:rsidR="00C2612A" w:rsidRDefault="00C2612A" w:rsidP="00362CD9">
      <w:r>
        <w:continuationSeparator/>
      </w:r>
    </w:p>
    <w:p w14:paraId="6FC195D5" w14:textId="77777777" w:rsidR="00C2612A" w:rsidRDefault="00C2612A"/>
    <w:p w14:paraId="709DF87F" w14:textId="77777777" w:rsidR="00C2612A" w:rsidRDefault="00C2612A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E2E29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A15CC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D70AF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612A"/>
    <w:rsid w:val="00C57533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0DE4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CF55-52F9-4B2D-BEC5-C2872DE6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2</cp:revision>
  <dcterms:created xsi:type="dcterms:W3CDTF">2017-08-04T17:00:00Z</dcterms:created>
  <dcterms:modified xsi:type="dcterms:W3CDTF">2017-08-04T17:00:00Z</dcterms:modified>
</cp:coreProperties>
</file>